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966"/>
        <w:gridCol w:w="4967"/>
        <w:gridCol w:w="360"/>
      </w:tblGrid>
      <w:tr w:rsidR="00FA7674">
        <w:trPr>
          <w:trHeight w:val="125"/>
        </w:trPr>
        <w:tc>
          <w:tcPr>
            <w:tcW w:w="9933" w:type="dxa"/>
            <w:gridSpan w:val="2"/>
            <w:tcBorders>
              <w:top w:val="nil"/>
              <w:left w:val="nil"/>
              <w:bottom w:val="nil"/>
              <w:right w:val="nil"/>
            </w:tcBorders>
          </w:tcPr>
          <w:p w:rsidR="00FA7674" w:rsidRDefault="00FA7674">
            <w:pPr>
              <w:pStyle w:val="Default"/>
              <w:rPr>
                <w:sz w:val="28"/>
                <w:szCs w:val="28"/>
              </w:rPr>
            </w:pPr>
            <w:r>
              <w:rPr>
                <w:b/>
                <w:bCs/>
                <w:sz w:val="28"/>
                <w:szCs w:val="28"/>
              </w:rPr>
              <w:t xml:space="preserve">Agriculture et agro-alimentaire : priorité gouvernementale </w:t>
            </w:r>
          </w:p>
        </w:tc>
        <w:tc>
          <w:tcPr>
            <w:tcW w:w="360" w:type="dxa"/>
          </w:tcPr>
          <w:p w:rsidR="00FA7674" w:rsidRDefault="00FA7674">
            <w:pPr>
              <w:spacing w:before="0"/>
            </w:pPr>
            <w:r>
              <w:rPr>
                <w:sz w:val="28"/>
                <w:szCs w:val="28"/>
              </w:rPr>
              <w:t xml:space="preserve"> </w:t>
            </w:r>
          </w:p>
        </w:tc>
      </w:tr>
      <w:tr w:rsidR="00FA7674">
        <w:trPr>
          <w:trHeight w:val="6175"/>
        </w:trPr>
        <w:tc>
          <w:tcPr>
            <w:tcW w:w="4966" w:type="dxa"/>
            <w:tcBorders>
              <w:top w:val="nil"/>
              <w:left w:val="nil"/>
              <w:bottom w:val="nil"/>
              <w:right w:val="nil"/>
            </w:tcBorders>
          </w:tcPr>
          <w:p w:rsidR="00C10DDB" w:rsidRDefault="00C10DDB">
            <w:pPr>
              <w:pStyle w:val="Default"/>
              <w:rPr>
                <w:color w:val="auto"/>
              </w:rPr>
            </w:pPr>
          </w:p>
          <w:p w:rsidR="00FA7674" w:rsidRDefault="00FA7674">
            <w:pPr>
              <w:pStyle w:val="Default"/>
              <w:rPr>
                <w:rFonts w:ascii="Arial" w:hAnsi="Arial" w:cs="Arial"/>
                <w:sz w:val="23"/>
                <w:szCs w:val="23"/>
              </w:rPr>
            </w:pPr>
            <w:r>
              <w:rPr>
                <w:rFonts w:ascii="Arial" w:hAnsi="Arial" w:cs="Arial"/>
                <w:b/>
                <w:bCs/>
                <w:sz w:val="23"/>
                <w:szCs w:val="23"/>
              </w:rPr>
              <w:t xml:space="preserve">Conseil et OPA </w:t>
            </w:r>
          </w:p>
          <w:p w:rsidR="00FA7674" w:rsidRDefault="00FA7674">
            <w:pPr>
              <w:pStyle w:val="Default"/>
              <w:rPr>
                <w:sz w:val="16"/>
                <w:szCs w:val="16"/>
              </w:rPr>
            </w:pPr>
            <w:r>
              <w:rPr>
                <w:rFonts w:ascii="Arial" w:hAnsi="Arial" w:cs="Arial"/>
                <w:sz w:val="16"/>
                <w:szCs w:val="16"/>
              </w:rPr>
              <w:t>Après 10 années de gestation, le FNDASP (Fonds National de développement agro-</w:t>
            </w:r>
            <w:proofErr w:type="spellStart"/>
            <w:r>
              <w:rPr>
                <w:rFonts w:ascii="Arial" w:hAnsi="Arial" w:cs="Arial"/>
                <w:sz w:val="16"/>
                <w:szCs w:val="16"/>
              </w:rPr>
              <w:t>sylvo</w:t>
            </w:r>
            <w:proofErr w:type="spellEnd"/>
            <w:r>
              <w:rPr>
                <w:rFonts w:ascii="Arial" w:hAnsi="Arial" w:cs="Arial"/>
                <w:sz w:val="16"/>
                <w:szCs w:val="16"/>
              </w:rPr>
              <w:t>-pastoral) entre en activité avec la validation de son plan stratégique fin octobre à Dakar. Le FNDASP est un des engagements forts de la loi d’orientation agro-</w:t>
            </w:r>
            <w:proofErr w:type="spellStart"/>
            <w:r>
              <w:rPr>
                <w:rFonts w:ascii="Arial" w:hAnsi="Arial" w:cs="Arial"/>
                <w:sz w:val="16"/>
                <w:szCs w:val="16"/>
              </w:rPr>
              <w:t>sylvo</w:t>
            </w:r>
            <w:proofErr w:type="spellEnd"/>
            <w:r>
              <w:rPr>
                <w:rFonts w:ascii="Arial" w:hAnsi="Arial" w:cs="Arial"/>
                <w:sz w:val="16"/>
                <w:szCs w:val="16"/>
              </w:rPr>
              <w:t xml:space="preserve">-pastorale (LOASP) votée en 2004 pour le financement des services agricoles sur une base contractuelle et compétitive : conseil agricole, formation professionnelle, recherche-développement et appui aux organisations professionnelles. Fondé sur l’exemple du FIRCA en Côte d’Ivoire et du FNDA en France, il doit être abondé par l’Etat, et les filières agricoles. Il a vocation à être un « pot commun » des appuis des partenaires techniques et financiers pour diffuser les innovations techniques et développer les filières. </w:t>
            </w:r>
          </w:p>
          <w:p w:rsidR="00C10DDB" w:rsidRDefault="00C10DDB">
            <w:pPr>
              <w:pStyle w:val="Default"/>
              <w:rPr>
                <w:rFonts w:ascii="Arial" w:hAnsi="Arial" w:cs="Arial"/>
                <w:b/>
                <w:bCs/>
                <w:sz w:val="23"/>
                <w:szCs w:val="23"/>
              </w:rPr>
            </w:pPr>
          </w:p>
          <w:p w:rsidR="00FA7674" w:rsidRDefault="00FA7674">
            <w:pPr>
              <w:pStyle w:val="Default"/>
              <w:rPr>
                <w:rFonts w:ascii="Arial" w:hAnsi="Arial" w:cs="Arial"/>
                <w:sz w:val="23"/>
                <w:szCs w:val="23"/>
              </w:rPr>
            </w:pPr>
            <w:r>
              <w:rPr>
                <w:rFonts w:ascii="Arial" w:hAnsi="Arial" w:cs="Arial"/>
                <w:b/>
                <w:bCs/>
                <w:sz w:val="23"/>
                <w:szCs w:val="23"/>
              </w:rPr>
              <w:t xml:space="preserve">Accords de pêche </w:t>
            </w:r>
          </w:p>
          <w:p w:rsidR="00FA7674" w:rsidRDefault="00FA7674">
            <w:pPr>
              <w:pStyle w:val="Default"/>
              <w:rPr>
                <w:sz w:val="16"/>
                <w:szCs w:val="16"/>
              </w:rPr>
            </w:pPr>
            <w:r>
              <w:rPr>
                <w:rFonts w:ascii="Arial" w:hAnsi="Arial" w:cs="Arial"/>
                <w:sz w:val="16"/>
                <w:szCs w:val="16"/>
              </w:rPr>
              <w:t>Le Sénégal et l’UE ont signé un nouvel accord de pêche, huit ans après l’expiration du dernier protocole. Sur 5 ans, l’accord fixe les possibilités des navires UE de pêcher (ressources excédentaires) (38 navires ciblant les thonidés), la contrepartie financière (14 M€) et les modalités d’appui au secteur des pêches sénégalais (source : DUE). L’UE est le 1</w:t>
            </w:r>
            <w:r>
              <w:rPr>
                <w:rFonts w:ascii="Arial" w:hAnsi="Arial" w:cs="Arial"/>
                <w:sz w:val="10"/>
                <w:szCs w:val="10"/>
              </w:rPr>
              <w:t xml:space="preserve">er </w:t>
            </w:r>
            <w:r>
              <w:rPr>
                <w:rFonts w:ascii="Arial" w:hAnsi="Arial" w:cs="Arial"/>
                <w:sz w:val="16"/>
                <w:szCs w:val="16"/>
              </w:rPr>
              <w:t xml:space="preserve">marché mondial pour le thon, vendu essentiellement en boîte (4% du thon importé est vendu frais). Les thoniers représentent 40% de la flotte externe de l’UE (source : CTA). </w:t>
            </w:r>
          </w:p>
          <w:p w:rsidR="00C10DDB" w:rsidRDefault="00C10DDB">
            <w:pPr>
              <w:pStyle w:val="Default"/>
              <w:rPr>
                <w:rFonts w:ascii="Arial" w:hAnsi="Arial" w:cs="Arial"/>
                <w:b/>
                <w:bCs/>
                <w:sz w:val="23"/>
                <w:szCs w:val="23"/>
              </w:rPr>
            </w:pPr>
          </w:p>
          <w:p w:rsidR="00FA7674" w:rsidRDefault="00FA7674">
            <w:pPr>
              <w:pStyle w:val="Default"/>
              <w:rPr>
                <w:rFonts w:ascii="Arial" w:hAnsi="Arial" w:cs="Arial"/>
                <w:sz w:val="23"/>
                <w:szCs w:val="23"/>
              </w:rPr>
            </w:pPr>
            <w:r>
              <w:rPr>
                <w:rFonts w:ascii="Arial" w:hAnsi="Arial" w:cs="Arial"/>
                <w:b/>
                <w:bCs/>
                <w:sz w:val="23"/>
                <w:szCs w:val="23"/>
              </w:rPr>
              <w:t xml:space="preserve">Arachide </w:t>
            </w:r>
          </w:p>
          <w:p w:rsidR="00FA7674" w:rsidRDefault="00FA7674">
            <w:pPr>
              <w:pStyle w:val="Default"/>
              <w:rPr>
                <w:sz w:val="16"/>
                <w:szCs w:val="16"/>
              </w:rPr>
            </w:pPr>
            <w:r>
              <w:rPr>
                <w:rFonts w:ascii="Arial" w:hAnsi="Arial" w:cs="Arial"/>
                <w:sz w:val="16"/>
                <w:szCs w:val="16"/>
              </w:rPr>
              <w:t xml:space="preserve">Lancement de la campagne arachidière le 29 décembre avec un prix d’achat aux producteurs fixé à 200 FCFA/Kg, comme en 2013. </w:t>
            </w:r>
          </w:p>
          <w:p w:rsidR="00C10DDB" w:rsidRDefault="00C10DDB">
            <w:pPr>
              <w:pStyle w:val="Default"/>
              <w:rPr>
                <w:rFonts w:ascii="Arial" w:hAnsi="Arial" w:cs="Arial"/>
                <w:b/>
                <w:bCs/>
                <w:sz w:val="23"/>
                <w:szCs w:val="23"/>
              </w:rPr>
            </w:pPr>
          </w:p>
          <w:p w:rsidR="00FA7674" w:rsidRDefault="00FA7674">
            <w:pPr>
              <w:pStyle w:val="Default"/>
              <w:rPr>
                <w:sz w:val="23"/>
                <w:szCs w:val="23"/>
              </w:rPr>
            </w:pPr>
            <w:r>
              <w:rPr>
                <w:rFonts w:ascii="Arial" w:hAnsi="Arial" w:cs="Arial"/>
                <w:b/>
                <w:bCs/>
                <w:sz w:val="23"/>
                <w:szCs w:val="23"/>
              </w:rPr>
              <w:t xml:space="preserve">Exports horticoles vers l’UE, 2000-13 </w:t>
            </w:r>
          </w:p>
          <w:p w:rsidR="00FA7674" w:rsidRDefault="00FA7674">
            <w:pPr>
              <w:pStyle w:val="Default"/>
              <w:rPr>
                <w:sz w:val="16"/>
                <w:szCs w:val="16"/>
              </w:rPr>
            </w:pPr>
            <w:r>
              <w:rPr>
                <w:b/>
                <w:bCs/>
                <w:sz w:val="16"/>
                <w:szCs w:val="16"/>
              </w:rPr>
              <w:t xml:space="preserve">Source : </w:t>
            </w:r>
            <w:r>
              <w:rPr>
                <w:sz w:val="16"/>
                <w:szCs w:val="16"/>
              </w:rPr>
              <w:t xml:space="preserve">Eurostat online citée par DPV </w:t>
            </w:r>
          </w:p>
        </w:tc>
        <w:tc>
          <w:tcPr>
            <w:tcW w:w="4966" w:type="dxa"/>
            <w:tcBorders>
              <w:top w:val="nil"/>
              <w:left w:val="nil"/>
              <w:bottom w:val="nil"/>
              <w:right w:val="nil"/>
            </w:tcBorders>
          </w:tcPr>
          <w:p w:rsidR="00B50547" w:rsidRDefault="00FA7674">
            <w:pPr>
              <w:pStyle w:val="Default"/>
              <w:rPr>
                <w:sz w:val="16"/>
                <w:szCs w:val="16"/>
              </w:rPr>
            </w:pPr>
            <w:r>
              <w:rPr>
                <w:sz w:val="16"/>
                <w:szCs w:val="16"/>
              </w:rPr>
              <w:t xml:space="preserve"> </w:t>
            </w:r>
          </w:p>
          <w:p w:rsidR="00B50547" w:rsidRDefault="00B50547">
            <w:pPr>
              <w:pStyle w:val="Default"/>
              <w:rPr>
                <w:sz w:val="16"/>
                <w:szCs w:val="16"/>
              </w:rPr>
            </w:pPr>
          </w:p>
          <w:p w:rsidR="00FA7674" w:rsidRDefault="00FA7674">
            <w:pPr>
              <w:pStyle w:val="Default"/>
              <w:rPr>
                <w:rFonts w:ascii="Arial" w:hAnsi="Arial" w:cs="Arial"/>
                <w:sz w:val="18"/>
                <w:szCs w:val="18"/>
              </w:rPr>
            </w:pPr>
            <w:r>
              <w:rPr>
                <w:rFonts w:ascii="Arial" w:hAnsi="Arial" w:cs="Arial"/>
                <w:sz w:val="18"/>
                <w:szCs w:val="18"/>
              </w:rPr>
              <w:t>Le Premier Ministre sénégalais M.B.A. DIONNE en fonction depuis juillet a fait sa déclaration de politique générale le 11 novembre 2014. Il articule les grands axes de son action autour du Plan Sénégal émergent (PSE) qui a pour but de faire du pays une économie émergente à l'horizon 2035. Le gouvernement mise notamment sur l’agriculture et l’agro-alimentaire pour « créer plus de richesse et d’emplois viables » et permettre la transformation structurelle de l’économie. Il souhaite produire plus pour renforcer la sécurité alimentaire et réduire le déficit de la balance commerciale. Pour cela, il s’appuiera sur la modernisation de l’équipement rural, l’utilisation d’intrants de qualité (semences certifiées et engrais) et la maîtrise de l’eau en valorisant les réserves de surfaces et soute</w:t>
            </w:r>
            <w:bookmarkStart w:id="0" w:name="_GoBack"/>
            <w:bookmarkEnd w:id="0"/>
            <w:r>
              <w:rPr>
                <w:rFonts w:ascii="Arial" w:hAnsi="Arial" w:cs="Arial"/>
                <w:sz w:val="18"/>
                <w:szCs w:val="18"/>
              </w:rPr>
              <w:t xml:space="preserve">rraines. Comme l’avait annoncé le Président de la République lors de sa tournée dans la vallée du fleuve Sénégal fin octobre, le matériel agricole sera subventionné à 70% et la TVA sur le riz local supprimée. Pour ses actions - forages agro-pastoraux, aménagement de 90 000 ha et création de fermes - le gouvernement s’appuiera sur le programme d’accélération de la cadence de l’agriculture sénégalaise (PRACAS) et les domaines agricoles communautaires (DAC). Son objectif est d’atteindre en 2017 l’autosuffisance en riz en étendant les surfaces emblavées et en améliorant la productivité, pour le riz irrigué et pluvial ; tout en diminuant les pertes. Le gouvernement souhaite développer les filières horticoles avec des objectifs ambitieux de production (oignons, pommes de terre, tomates industrielles) et d’export. Des investissements en infrastructures (stockage et conservation) sont prévus afin de réduire les pertes post-récolte et améliorer la mise en marché des produits ainsi qu’un nouvel abattoir. En outre, le gouvernement souhaite renforcer les liens agriculture-industrie en créant trois pôles de développement agro-industriel dont un situé dans la zone économique de </w:t>
            </w:r>
            <w:proofErr w:type="spellStart"/>
            <w:r>
              <w:rPr>
                <w:rFonts w:ascii="Arial" w:hAnsi="Arial" w:cs="Arial"/>
                <w:sz w:val="18"/>
                <w:szCs w:val="18"/>
              </w:rPr>
              <w:t>Diamniadio</w:t>
            </w:r>
            <w:proofErr w:type="spellEnd"/>
            <w:r>
              <w:rPr>
                <w:rFonts w:ascii="Arial" w:hAnsi="Arial" w:cs="Arial"/>
                <w:sz w:val="18"/>
                <w:szCs w:val="18"/>
              </w:rPr>
              <w:t xml:space="preserve">, pivot de sa politique industrielle. Enfin, sont annoncées une réflexion pour la création de chambres d’agriculture et la mise en </w:t>
            </w:r>
            <w:proofErr w:type="spellStart"/>
            <w:r>
              <w:rPr>
                <w:rFonts w:ascii="Arial" w:hAnsi="Arial" w:cs="Arial"/>
                <w:sz w:val="18"/>
                <w:szCs w:val="18"/>
              </w:rPr>
              <w:t>oeuvre</w:t>
            </w:r>
            <w:proofErr w:type="spellEnd"/>
            <w:r>
              <w:rPr>
                <w:rFonts w:ascii="Arial" w:hAnsi="Arial" w:cs="Arial"/>
                <w:sz w:val="18"/>
                <w:szCs w:val="18"/>
              </w:rPr>
              <w:t xml:space="preserve"> de la loi d’orientation agro-</w:t>
            </w:r>
            <w:proofErr w:type="spellStart"/>
            <w:r>
              <w:rPr>
                <w:rFonts w:ascii="Arial" w:hAnsi="Arial" w:cs="Arial"/>
                <w:sz w:val="18"/>
                <w:szCs w:val="18"/>
              </w:rPr>
              <w:t>sylvo</w:t>
            </w:r>
            <w:proofErr w:type="spellEnd"/>
            <w:r>
              <w:rPr>
                <w:rFonts w:ascii="Arial" w:hAnsi="Arial" w:cs="Arial"/>
                <w:sz w:val="18"/>
                <w:szCs w:val="18"/>
              </w:rPr>
              <w:t xml:space="preserve">-pastorale. </w:t>
            </w:r>
          </w:p>
          <w:p w:rsidR="00C10DDB" w:rsidRDefault="00C10DDB">
            <w:pPr>
              <w:pStyle w:val="Default"/>
              <w:rPr>
                <w:sz w:val="18"/>
                <w:szCs w:val="18"/>
              </w:rPr>
            </w:pPr>
          </w:p>
          <w:p w:rsidR="00FA7674" w:rsidRDefault="00FA7674">
            <w:pPr>
              <w:pStyle w:val="Default"/>
              <w:rPr>
                <w:sz w:val="28"/>
                <w:szCs w:val="28"/>
              </w:rPr>
            </w:pPr>
            <w:proofErr w:type="spellStart"/>
            <w:r>
              <w:rPr>
                <w:b/>
                <w:bCs/>
                <w:sz w:val="28"/>
                <w:szCs w:val="28"/>
              </w:rPr>
              <w:t>Agreenium</w:t>
            </w:r>
            <w:proofErr w:type="spellEnd"/>
            <w:r>
              <w:rPr>
                <w:b/>
                <w:bCs/>
                <w:sz w:val="28"/>
                <w:szCs w:val="28"/>
              </w:rPr>
              <w:t xml:space="preserve"> appuie l’USSK pour son projet pédagogique </w:t>
            </w:r>
          </w:p>
          <w:p w:rsidR="00FA7674" w:rsidRDefault="00FA7674">
            <w:pPr>
              <w:pStyle w:val="Default"/>
              <w:rPr>
                <w:rFonts w:ascii="Arial" w:hAnsi="Arial" w:cs="Arial"/>
                <w:sz w:val="18"/>
                <w:szCs w:val="18"/>
              </w:rPr>
            </w:pPr>
            <w:r>
              <w:rPr>
                <w:rFonts w:ascii="Arial" w:hAnsi="Arial" w:cs="Arial"/>
                <w:sz w:val="18"/>
                <w:szCs w:val="18"/>
              </w:rPr>
              <w:t>La mission d’</w:t>
            </w:r>
            <w:proofErr w:type="spellStart"/>
            <w:r>
              <w:rPr>
                <w:rFonts w:ascii="Arial" w:hAnsi="Arial" w:cs="Arial"/>
                <w:sz w:val="18"/>
                <w:szCs w:val="18"/>
              </w:rPr>
              <w:t>Agreenium</w:t>
            </w:r>
            <w:proofErr w:type="spellEnd"/>
            <w:r>
              <w:rPr>
                <w:rFonts w:ascii="Arial" w:hAnsi="Arial" w:cs="Arial"/>
                <w:sz w:val="18"/>
                <w:szCs w:val="18"/>
              </w:rPr>
              <w:t xml:space="preserve"> au Sénégal fin octobre a permis d’avancer sur la mise en place de l’Université du Sine-Saloum de Kaolack (USSK). Cette nouvelle université, à vocation </w:t>
            </w:r>
            <w:proofErr w:type="spellStart"/>
            <w:r>
              <w:rPr>
                <w:rFonts w:ascii="Arial" w:hAnsi="Arial" w:cs="Arial"/>
                <w:sz w:val="18"/>
                <w:szCs w:val="18"/>
              </w:rPr>
              <w:t>sous-régionale</w:t>
            </w:r>
            <w:proofErr w:type="spellEnd"/>
            <w:r>
              <w:rPr>
                <w:rFonts w:ascii="Arial" w:hAnsi="Arial" w:cs="Arial"/>
                <w:sz w:val="18"/>
                <w:szCs w:val="18"/>
              </w:rPr>
              <w:t xml:space="preserve">, dédiée aux agro-sciences vise une formation et une recherche innovantes au bénéfice de la sécurité alimentaire, du développement des zones rurales du bassin arachidier et de la résolution des problèmes environnementaux. Un atelier d’information a permis également à </w:t>
            </w:r>
            <w:proofErr w:type="spellStart"/>
            <w:r>
              <w:rPr>
                <w:rFonts w:ascii="Arial" w:hAnsi="Arial" w:cs="Arial"/>
                <w:sz w:val="18"/>
                <w:szCs w:val="18"/>
              </w:rPr>
              <w:t>Agreenium</w:t>
            </w:r>
            <w:proofErr w:type="spellEnd"/>
            <w:r>
              <w:rPr>
                <w:rFonts w:ascii="Arial" w:hAnsi="Arial" w:cs="Arial"/>
                <w:sz w:val="18"/>
                <w:szCs w:val="18"/>
              </w:rPr>
              <w:t xml:space="preserve"> de présenter aux universitaires et principaux acteurs du secteur agricole sénégalais l’approche agro-écologique de la France. Le partenariat entre les deux structures permettra de travailler sur l’ingénierie de formation et le développement du projet pédagogique de l’USSK. Le montage technique et financier de l’appui d’</w:t>
            </w:r>
            <w:proofErr w:type="spellStart"/>
            <w:r>
              <w:rPr>
                <w:rFonts w:ascii="Arial" w:hAnsi="Arial" w:cs="Arial"/>
                <w:sz w:val="18"/>
                <w:szCs w:val="18"/>
              </w:rPr>
              <w:t>Agreenium</w:t>
            </w:r>
            <w:proofErr w:type="spellEnd"/>
            <w:r>
              <w:rPr>
                <w:rFonts w:ascii="Arial" w:hAnsi="Arial" w:cs="Arial"/>
                <w:sz w:val="18"/>
                <w:szCs w:val="18"/>
              </w:rPr>
              <w:t xml:space="preserve"> finalisé, le financement pour sa mise en </w:t>
            </w:r>
            <w:proofErr w:type="spellStart"/>
            <w:r>
              <w:rPr>
                <w:rFonts w:ascii="Arial" w:hAnsi="Arial" w:cs="Arial"/>
                <w:sz w:val="18"/>
                <w:szCs w:val="18"/>
              </w:rPr>
              <w:t>oeuvre</w:t>
            </w:r>
            <w:proofErr w:type="spellEnd"/>
            <w:r>
              <w:rPr>
                <w:rFonts w:ascii="Arial" w:hAnsi="Arial" w:cs="Arial"/>
                <w:sz w:val="18"/>
                <w:szCs w:val="18"/>
              </w:rPr>
              <w:t xml:space="preserve"> reste à être bouclé. Concevoir une offre de formation basée sur la demande, nouer des partenariats avec le secteur privé et répondre aux besoins du bassin d’emploi de la zone centre devraient être les grands chantiers de réflexion en 2015. </w:t>
            </w:r>
          </w:p>
          <w:p w:rsidR="00C10DDB" w:rsidRDefault="00C10DDB">
            <w:pPr>
              <w:pStyle w:val="Default"/>
              <w:rPr>
                <w:rFonts w:ascii="Arial" w:hAnsi="Arial" w:cs="Arial"/>
                <w:sz w:val="18"/>
                <w:szCs w:val="18"/>
              </w:rPr>
            </w:pPr>
          </w:p>
          <w:p w:rsidR="00C10DDB" w:rsidRDefault="00C10DDB">
            <w:pPr>
              <w:pStyle w:val="Default"/>
              <w:rPr>
                <w:rFonts w:ascii="Arial" w:hAnsi="Arial" w:cs="Arial"/>
                <w:sz w:val="18"/>
                <w:szCs w:val="18"/>
              </w:rPr>
            </w:pPr>
          </w:p>
          <w:p w:rsidR="00C10DDB" w:rsidRDefault="00C10DDB">
            <w:pPr>
              <w:pStyle w:val="Default"/>
              <w:rPr>
                <w:rFonts w:ascii="Arial" w:hAnsi="Arial" w:cs="Arial"/>
                <w:sz w:val="18"/>
                <w:szCs w:val="18"/>
              </w:rPr>
            </w:pPr>
          </w:p>
          <w:p w:rsidR="00C10DDB" w:rsidRDefault="00C10DDB">
            <w:pPr>
              <w:pStyle w:val="Default"/>
              <w:rPr>
                <w:sz w:val="18"/>
                <w:szCs w:val="18"/>
              </w:rPr>
            </w:pPr>
          </w:p>
          <w:p w:rsidR="00FA7674" w:rsidRDefault="00FA7674">
            <w:pPr>
              <w:pStyle w:val="Default"/>
              <w:rPr>
                <w:sz w:val="28"/>
                <w:szCs w:val="28"/>
              </w:rPr>
            </w:pPr>
            <w:r>
              <w:rPr>
                <w:b/>
                <w:bCs/>
                <w:sz w:val="28"/>
                <w:szCs w:val="28"/>
              </w:rPr>
              <w:t xml:space="preserve">Croissance des exportations de produits horticoles </w:t>
            </w:r>
          </w:p>
          <w:p w:rsidR="00FA7674" w:rsidRDefault="00FA7674">
            <w:pPr>
              <w:pStyle w:val="Default"/>
              <w:rPr>
                <w:sz w:val="18"/>
                <w:szCs w:val="18"/>
              </w:rPr>
            </w:pPr>
            <w:r>
              <w:rPr>
                <w:rFonts w:ascii="Arial" w:hAnsi="Arial" w:cs="Arial"/>
                <w:sz w:val="18"/>
                <w:szCs w:val="18"/>
              </w:rPr>
              <w:t>Le bilan de la campagne export des produits horticoles 2014 a été établi fin décembre lors de la rencontre du réseau national d’échanges sur les pesticides. Avec 85 000 T exportées (hausse de 35%) pour une valeur de 60 M€, les bons résultats confirment la forte croissance (+15 % /an depuis 2000, +650 % sur 2000-2013) des exportations sénégalaises de fruits et légumes (F&amp;L). Les exports sont destinés majoritairement à l’UE, marché de contre-saison où dominent 3 opérateurs (Touba/</w:t>
            </w:r>
            <w:proofErr w:type="spellStart"/>
            <w:r>
              <w:rPr>
                <w:rFonts w:ascii="Arial" w:hAnsi="Arial" w:cs="Arial"/>
                <w:sz w:val="18"/>
                <w:szCs w:val="18"/>
              </w:rPr>
              <w:t>Senfruit</w:t>
            </w:r>
            <w:proofErr w:type="spellEnd"/>
            <w:r>
              <w:rPr>
                <w:rFonts w:ascii="Arial" w:hAnsi="Arial" w:cs="Arial"/>
                <w:sz w:val="18"/>
                <w:szCs w:val="18"/>
              </w:rPr>
              <w:t xml:space="preserve">, GDS, SCL). Le Sénégal exporte une dizaine de F&amp;L : melons (explosion des exportations en 2011) et pastèques, tomates cerise (86% exportées par GDS), haricots verts (rebond après des années de stagnation avec 55% des exports par Van </w:t>
            </w:r>
            <w:proofErr w:type="spellStart"/>
            <w:r>
              <w:rPr>
                <w:rFonts w:ascii="Arial" w:hAnsi="Arial" w:cs="Arial"/>
                <w:sz w:val="18"/>
                <w:szCs w:val="18"/>
              </w:rPr>
              <w:t>Oers</w:t>
            </w:r>
            <w:proofErr w:type="spellEnd"/>
            <w:r>
              <w:rPr>
                <w:rFonts w:ascii="Arial" w:hAnsi="Arial" w:cs="Arial"/>
                <w:sz w:val="18"/>
                <w:szCs w:val="18"/>
              </w:rPr>
              <w:t>), maïs doux (apparu en 2005) et mangues. La mangue, produit stratégique par le nombre de producteurs et de régions du pays concernés, a repris la 1</w:t>
            </w:r>
            <w:r>
              <w:rPr>
                <w:rFonts w:ascii="Arial" w:hAnsi="Arial" w:cs="Arial"/>
                <w:sz w:val="12"/>
                <w:szCs w:val="12"/>
              </w:rPr>
              <w:t xml:space="preserve">ère </w:t>
            </w:r>
            <w:r>
              <w:rPr>
                <w:rFonts w:ascii="Arial" w:hAnsi="Arial" w:cs="Arial"/>
                <w:sz w:val="18"/>
                <w:szCs w:val="18"/>
              </w:rPr>
              <w:t>place des exports de F&amp;L (+40 % en 2014, 15 000 T). On note ces dernières années une diversification des produits horticoles exportés avec la courge butter-</w:t>
            </w:r>
            <w:proofErr w:type="spellStart"/>
            <w:r>
              <w:rPr>
                <w:rFonts w:ascii="Arial" w:hAnsi="Arial" w:cs="Arial"/>
                <w:sz w:val="18"/>
                <w:szCs w:val="18"/>
              </w:rPr>
              <w:t>nut</w:t>
            </w:r>
            <w:proofErr w:type="spellEnd"/>
            <w:r>
              <w:rPr>
                <w:rFonts w:ascii="Arial" w:hAnsi="Arial" w:cs="Arial"/>
                <w:sz w:val="18"/>
                <w:szCs w:val="18"/>
              </w:rPr>
              <w:t xml:space="preserve">, l’oignon vert et le radis (investissement de West </w:t>
            </w:r>
            <w:proofErr w:type="spellStart"/>
            <w:r>
              <w:rPr>
                <w:rFonts w:ascii="Arial" w:hAnsi="Arial" w:cs="Arial"/>
                <w:sz w:val="18"/>
                <w:szCs w:val="18"/>
              </w:rPr>
              <w:t>Africa</w:t>
            </w:r>
            <w:proofErr w:type="spellEnd"/>
            <w:r>
              <w:rPr>
                <w:rFonts w:ascii="Arial" w:hAnsi="Arial" w:cs="Arial"/>
                <w:sz w:val="18"/>
                <w:szCs w:val="18"/>
              </w:rPr>
              <w:t xml:space="preserve"> </w:t>
            </w:r>
            <w:proofErr w:type="spellStart"/>
            <w:r>
              <w:rPr>
                <w:rFonts w:ascii="Arial" w:hAnsi="Arial" w:cs="Arial"/>
                <w:sz w:val="18"/>
                <w:szCs w:val="18"/>
              </w:rPr>
              <w:t>Farms</w:t>
            </w:r>
            <w:proofErr w:type="spellEnd"/>
            <w:r>
              <w:rPr>
                <w:rFonts w:ascii="Arial" w:hAnsi="Arial" w:cs="Arial"/>
                <w:sz w:val="18"/>
                <w:szCs w:val="18"/>
              </w:rPr>
              <w:t xml:space="preserve"> - filiale de </w:t>
            </w:r>
            <w:proofErr w:type="spellStart"/>
            <w:r>
              <w:rPr>
                <w:rFonts w:ascii="Arial" w:hAnsi="Arial" w:cs="Arial"/>
                <w:sz w:val="18"/>
                <w:szCs w:val="18"/>
              </w:rPr>
              <w:t>G.S.Shropshire</w:t>
            </w:r>
            <w:proofErr w:type="spellEnd"/>
            <w:r>
              <w:rPr>
                <w:rFonts w:ascii="Arial" w:hAnsi="Arial" w:cs="Arial"/>
                <w:sz w:val="18"/>
                <w:szCs w:val="18"/>
              </w:rPr>
              <w:t xml:space="preserve"> - sur oignon vert, salade et radis pour la Grande-Bretagne). Même si le volume est faible, le piment «</w:t>
            </w:r>
            <w:proofErr w:type="spellStart"/>
            <w:r>
              <w:rPr>
                <w:rFonts w:ascii="Arial" w:hAnsi="Arial" w:cs="Arial"/>
                <w:sz w:val="18"/>
                <w:szCs w:val="18"/>
              </w:rPr>
              <w:t>Grown</w:t>
            </w:r>
            <w:proofErr w:type="spellEnd"/>
            <w:r>
              <w:rPr>
                <w:rFonts w:ascii="Arial" w:hAnsi="Arial" w:cs="Arial"/>
                <w:sz w:val="18"/>
                <w:szCs w:val="18"/>
              </w:rPr>
              <w:t xml:space="preserve"> in Sénégal » consolide son positionnement haut de gamme sur le marché britannique. Enfin, GDS et SCL mènent des programmes de développement d’asperge d’exportation. (source : APS, DPV) </w:t>
            </w:r>
          </w:p>
        </w:tc>
        <w:tc>
          <w:tcPr>
            <w:tcW w:w="360" w:type="dxa"/>
          </w:tcPr>
          <w:p w:rsidR="00FA7674" w:rsidRDefault="00FA7674">
            <w:pPr>
              <w:spacing w:before="0"/>
            </w:pPr>
            <w:r>
              <w:rPr>
                <w:sz w:val="18"/>
                <w:szCs w:val="18"/>
              </w:rPr>
              <w:lastRenderedPageBreak/>
              <w:t xml:space="preserve"> </w:t>
            </w:r>
          </w:p>
        </w:tc>
      </w:tr>
    </w:tbl>
    <w:p w:rsidR="00DE372B" w:rsidRDefault="00DE372B"/>
    <w:sectPr w:rsidR="00DE3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0825"/>
    <w:multiLevelType w:val="singleLevel"/>
    <w:tmpl w:val="51000042"/>
    <w:lvl w:ilvl="0">
      <w:start w:val="1"/>
      <w:numFmt w:val="bullet"/>
      <w:pStyle w:val="Pucepournumration"/>
      <w:lvlText w:val=""/>
      <w:lvlJc w:val="left"/>
      <w:pPr>
        <w:tabs>
          <w:tab w:val="num" w:pos="360"/>
        </w:tabs>
        <w:ind w:left="340" w:hanging="340"/>
      </w:pPr>
      <w:rPr>
        <w:rFonts w:ascii="MT Extra" w:hAnsi="MT Extra" w:hint="default"/>
        <w:sz w:val="24"/>
      </w:rPr>
    </w:lvl>
  </w:abstractNum>
  <w:abstractNum w:abstractNumId="1" w15:restartNumberingAfterBreak="0">
    <w:nsid w:val="190765B2"/>
    <w:multiLevelType w:val="singleLevel"/>
    <w:tmpl w:val="DE3C4472"/>
    <w:lvl w:ilvl="0">
      <w:start w:val="1"/>
      <w:numFmt w:val="bullet"/>
      <w:pStyle w:val="Pucepourparagraphe"/>
      <w:lvlText w:val=""/>
      <w:lvlJc w:val="left"/>
      <w:pPr>
        <w:tabs>
          <w:tab w:val="num" w:pos="360"/>
        </w:tabs>
        <w:ind w:left="340" w:hanging="340"/>
      </w:pPr>
      <w:rPr>
        <w:rFonts w:ascii="Wingdings" w:hAnsi="Wingdings" w:hint="default"/>
        <w:sz w:val="20"/>
      </w:rPr>
    </w:lvl>
  </w:abstractNum>
  <w:abstractNum w:abstractNumId="2" w15:restartNumberingAfterBreak="0">
    <w:nsid w:val="796E41D7"/>
    <w:multiLevelType w:val="multilevel"/>
    <w:tmpl w:val="7CB0FE4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ascii="Arial Black" w:hAnsi="Tahoma" w:hint="default"/>
      </w:rPr>
    </w:lvl>
    <w:lvl w:ilvl="3">
      <w:start w:val="1"/>
      <w:numFmt w:val="upperRoman"/>
      <w:pStyle w:val="Titre1"/>
      <w:lvlText w:val="%4."/>
      <w:lvlJc w:val="left"/>
      <w:pPr>
        <w:tabs>
          <w:tab w:val="num" w:pos="720"/>
        </w:tabs>
        <w:ind w:left="510" w:hanging="510"/>
      </w:pPr>
      <w:rPr>
        <w:rFonts w:hint="default"/>
      </w:rPr>
    </w:lvl>
    <w:lvl w:ilvl="4">
      <w:start w:val="1"/>
      <w:numFmt w:val="decimal"/>
      <w:pStyle w:val="Titre2"/>
      <w:lvlText w:val="%1%5."/>
      <w:lvlJc w:val="left"/>
      <w:pPr>
        <w:tabs>
          <w:tab w:val="num" w:pos="510"/>
        </w:tabs>
        <w:ind w:left="510" w:hanging="510"/>
      </w:pPr>
      <w:rPr>
        <w:rFonts w:hint="default"/>
      </w:rPr>
    </w:lvl>
    <w:lvl w:ilvl="5">
      <w:start w:val="1"/>
      <w:numFmt w:val="decimal"/>
      <w:pStyle w:val="Titre3"/>
      <w:lvlText w:val="%5.%6"/>
      <w:lvlJc w:val="left"/>
      <w:pPr>
        <w:tabs>
          <w:tab w:val="num" w:pos="510"/>
        </w:tabs>
        <w:ind w:left="510" w:hanging="510"/>
      </w:pPr>
      <w:rPr>
        <w:rFonts w:hint="default"/>
      </w:rPr>
    </w:lvl>
    <w:lvl w:ilvl="6">
      <w:start w:val="1"/>
      <w:numFmt w:val="none"/>
      <w:pStyle w:val="Titre4"/>
      <w:suff w:val="nothing"/>
      <w:lvlText w:val=""/>
      <w:lvlJc w:val="left"/>
      <w:pPr>
        <w:ind w:left="0" w:firstLine="0"/>
      </w:pPr>
      <w:rPr>
        <w:rFonts w:hint="default"/>
      </w:rPr>
    </w:lvl>
    <w:lvl w:ilvl="7">
      <w:start w:val="1"/>
      <w:numFmt w:val="bullet"/>
      <w:pStyle w:val="Pucepourtitre"/>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num w:numId="1">
    <w:abstractNumId w:val="2"/>
  </w:num>
  <w:num w:numId="2">
    <w:abstractNumId w:val="2"/>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74"/>
    <w:rsid w:val="0070318B"/>
    <w:rsid w:val="007E05BD"/>
    <w:rsid w:val="008E2825"/>
    <w:rsid w:val="00B50547"/>
    <w:rsid w:val="00B76B84"/>
    <w:rsid w:val="00C10DDB"/>
    <w:rsid w:val="00DE372B"/>
    <w:rsid w:val="00FA7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074D2-C2E5-4F34-BD0E-63D188DB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BD"/>
    <w:pPr>
      <w:spacing w:before="120"/>
    </w:pPr>
    <w:rPr>
      <w:sz w:val="23"/>
      <w:szCs w:val="23"/>
    </w:rPr>
  </w:style>
  <w:style w:type="paragraph" w:styleId="Titre1">
    <w:name w:val="heading 1"/>
    <w:basedOn w:val="Normal"/>
    <w:next w:val="Normal"/>
    <w:link w:val="Titre1Car"/>
    <w:qFormat/>
    <w:rsid w:val="007E05BD"/>
    <w:pPr>
      <w:keepNext/>
      <w:numPr>
        <w:ilvl w:val="3"/>
        <w:numId w:val="6"/>
      </w:numPr>
      <w:pBdr>
        <w:bottom w:val="single" w:sz="2" w:space="5" w:color="auto"/>
      </w:pBdr>
      <w:tabs>
        <w:tab w:val="left" w:pos="510"/>
      </w:tabs>
      <w:suppressAutoHyphens/>
      <w:spacing w:before="780" w:after="180" w:line="300" w:lineRule="atLeast"/>
      <w:outlineLvl w:val="0"/>
    </w:pPr>
    <w:rPr>
      <w:rFonts w:ascii="Arial" w:hAnsi="Arial"/>
      <w:b/>
      <w:caps/>
      <w:kern w:val="28"/>
      <w:sz w:val="24"/>
    </w:rPr>
  </w:style>
  <w:style w:type="paragraph" w:styleId="Titre2">
    <w:name w:val="heading 2"/>
    <w:aliases w:val="Heading 2 Char Char"/>
    <w:basedOn w:val="Normal"/>
    <w:next w:val="Normal"/>
    <w:link w:val="Titre2Car"/>
    <w:qFormat/>
    <w:rsid w:val="007E05BD"/>
    <w:pPr>
      <w:keepNext/>
      <w:numPr>
        <w:ilvl w:val="4"/>
        <w:numId w:val="6"/>
      </w:numPr>
      <w:suppressAutoHyphens/>
      <w:spacing w:before="400" w:after="80"/>
      <w:outlineLvl w:val="1"/>
    </w:pPr>
    <w:rPr>
      <w:rFonts w:ascii="Arial" w:hAnsi="Arial"/>
      <w:b/>
      <w:sz w:val="25"/>
    </w:rPr>
  </w:style>
  <w:style w:type="paragraph" w:styleId="Titre3">
    <w:name w:val="heading 3"/>
    <w:aliases w:val="Section Header3,ClauseSub_No&amp;Name,Heading 3 Char,Section Header3 Char Char,HF2"/>
    <w:basedOn w:val="Normal"/>
    <w:next w:val="Normal"/>
    <w:link w:val="Titre3Car"/>
    <w:qFormat/>
    <w:rsid w:val="007E05BD"/>
    <w:pPr>
      <w:keepNext/>
      <w:numPr>
        <w:ilvl w:val="5"/>
        <w:numId w:val="6"/>
      </w:numPr>
      <w:suppressAutoHyphens/>
      <w:spacing w:before="240" w:after="60"/>
      <w:outlineLvl w:val="2"/>
    </w:pPr>
    <w:rPr>
      <w:rFonts w:ascii="Arial" w:hAnsi="Arial"/>
      <w:b/>
    </w:rPr>
  </w:style>
  <w:style w:type="paragraph" w:styleId="Titre4">
    <w:name w:val="heading 4"/>
    <w:basedOn w:val="Normal"/>
    <w:next w:val="Normal"/>
    <w:link w:val="Titre4Car"/>
    <w:qFormat/>
    <w:rsid w:val="00B76B84"/>
    <w:pPr>
      <w:keepNext/>
      <w:numPr>
        <w:ilvl w:val="6"/>
        <w:numId w:val="6"/>
      </w:numPr>
      <w:outlineLvl w:val="3"/>
    </w:pPr>
    <w:rPr>
      <w:rFonts w:ascii="Arial" w:hAnsi="Arial"/>
      <w:b/>
      <w:color w:val="FF0000"/>
    </w:rPr>
  </w:style>
  <w:style w:type="paragraph" w:styleId="Titre5">
    <w:name w:val="heading 5"/>
    <w:basedOn w:val="Normal"/>
    <w:next w:val="Normal"/>
    <w:link w:val="Titre5Car"/>
    <w:qFormat/>
    <w:rsid w:val="00B76B84"/>
    <w:pPr>
      <w:keepNext/>
      <w:outlineLvl w:val="4"/>
    </w:pPr>
    <w:rPr>
      <w:rFonts w:ascii="Arial" w:hAnsi="Arial"/>
      <w:b/>
      <w:color w:val="808080"/>
    </w:rPr>
  </w:style>
  <w:style w:type="paragraph" w:styleId="Titre6">
    <w:name w:val="heading 6"/>
    <w:basedOn w:val="Normal"/>
    <w:next w:val="Normal"/>
    <w:link w:val="Titre6Car"/>
    <w:qFormat/>
    <w:rsid w:val="00B76B84"/>
    <w:pPr>
      <w:keepNext/>
      <w:outlineLvl w:val="5"/>
    </w:pPr>
    <w:rPr>
      <w:rFonts w:ascii="Arial" w:hAnsi="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05BD"/>
    <w:rPr>
      <w:rFonts w:ascii="Arial" w:hAnsi="Arial"/>
      <w:b/>
      <w:caps/>
      <w:kern w:val="28"/>
      <w:sz w:val="24"/>
      <w:lang w:eastAsia="fr-FR"/>
    </w:rPr>
  </w:style>
  <w:style w:type="character" w:customStyle="1" w:styleId="Titre2Car">
    <w:name w:val="Titre 2 Car"/>
    <w:aliases w:val="Heading 2 Char Char Car"/>
    <w:basedOn w:val="Policepardfaut"/>
    <w:link w:val="Titre2"/>
    <w:rsid w:val="007E05BD"/>
    <w:rPr>
      <w:rFonts w:ascii="Arial" w:hAnsi="Arial"/>
      <w:b/>
      <w:sz w:val="25"/>
      <w:lang w:eastAsia="fr-FR"/>
    </w:rPr>
  </w:style>
  <w:style w:type="character" w:customStyle="1" w:styleId="Titre3Car">
    <w:name w:val="Titre 3 Car"/>
    <w:aliases w:val="Section Header3 Car,ClauseSub_No&amp;Name Car,Heading 3 Char Car,Section Header3 Char Char Car,HF2 Car"/>
    <w:basedOn w:val="Policepardfaut"/>
    <w:link w:val="Titre3"/>
    <w:rsid w:val="007E05BD"/>
    <w:rPr>
      <w:rFonts w:ascii="Arial" w:hAnsi="Arial"/>
      <w:b/>
      <w:sz w:val="23"/>
      <w:lang w:eastAsia="fr-FR"/>
    </w:rPr>
  </w:style>
  <w:style w:type="character" w:customStyle="1" w:styleId="Titre4Car">
    <w:name w:val="Titre 4 Car"/>
    <w:basedOn w:val="Policepardfaut"/>
    <w:link w:val="Titre4"/>
    <w:rsid w:val="00B76B84"/>
    <w:rPr>
      <w:rFonts w:ascii="Arial" w:hAnsi="Arial"/>
      <w:b/>
      <w:noProof/>
      <w:color w:val="FF0000"/>
      <w:lang w:val="nl-NL" w:eastAsia="nl-NL"/>
    </w:rPr>
  </w:style>
  <w:style w:type="character" w:customStyle="1" w:styleId="Titre5Car">
    <w:name w:val="Titre 5 Car"/>
    <w:basedOn w:val="Policepardfaut"/>
    <w:link w:val="Titre5"/>
    <w:rsid w:val="00B76B84"/>
    <w:rPr>
      <w:rFonts w:ascii="Arial" w:hAnsi="Arial"/>
      <w:b/>
      <w:noProof/>
      <w:color w:val="808080"/>
      <w:lang w:val="nl-NL" w:eastAsia="nl-NL"/>
    </w:rPr>
  </w:style>
  <w:style w:type="character" w:customStyle="1" w:styleId="Titre6Car">
    <w:name w:val="Titre 6 Car"/>
    <w:basedOn w:val="Policepardfaut"/>
    <w:link w:val="Titre6"/>
    <w:rsid w:val="00B76B84"/>
    <w:rPr>
      <w:rFonts w:ascii="Arial" w:hAnsi="Arial"/>
      <w:i/>
      <w:noProof/>
      <w:lang w:val="nl-NL" w:eastAsia="nl-NL"/>
    </w:rPr>
  </w:style>
  <w:style w:type="paragraph" w:styleId="Titre">
    <w:name w:val="Title"/>
    <w:basedOn w:val="Normal"/>
    <w:link w:val="TitreCar"/>
    <w:qFormat/>
    <w:rsid w:val="00B76B84"/>
    <w:pPr>
      <w:widowControl w:val="0"/>
      <w:tabs>
        <w:tab w:val="left" w:pos="-720"/>
      </w:tabs>
      <w:suppressAutoHyphens/>
      <w:jc w:val="center"/>
    </w:pPr>
    <w:rPr>
      <w:b/>
      <w:sz w:val="48"/>
      <w:lang w:val="en-US" w:eastAsia="en-GB"/>
    </w:rPr>
  </w:style>
  <w:style w:type="character" w:customStyle="1" w:styleId="TitreCar">
    <w:name w:val="Titre Car"/>
    <w:basedOn w:val="Policepardfaut"/>
    <w:link w:val="Titre"/>
    <w:rsid w:val="00B76B84"/>
    <w:rPr>
      <w:b/>
      <w:sz w:val="48"/>
      <w:lang w:val="en-US" w:eastAsia="en-GB"/>
    </w:rPr>
  </w:style>
  <w:style w:type="character" w:styleId="lev">
    <w:name w:val="Strong"/>
    <w:basedOn w:val="Policepardfaut"/>
    <w:qFormat/>
    <w:rsid w:val="00B76B84"/>
    <w:rPr>
      <w:b/>
      <w:bCs/>
    </w:rPr>
  </w:style>
  <w:style w:type="paragraph" w:styleId="Sansinterligne">
    <w:name w:val="No Spacing"/>
    <w:uiPriority w:val="1"/>
    <w:qFormat/>
    <w:rsid w:val="00B76B84"/>
    <w:rPr>
      <w:rFonts w:ascii="Calibri" w:eastAsia="Calibri" w:hAnsi="Calibri"/>
      <w:sz w:val="22"/>
      <w:szCs w:val="22"/>
    </w:rPr>
  </w:style>
  <w:style w:type="paragraph" w:styleId="Paragraphedeliste">
    <w:name w:val="List Paragraph"/>
    <w:basedOn w:val="Normal"/>
    <w:uiPriority w:val="34"/>
    <w:qFormat/>
    <w:rsid w:val="00B76B84"/>
    <w:pPr>
      <w:ind w:left="720"/>
      <w:contextualSpacing/>
    </w:pPr>
  </w:style>
  <w:style w:type="paragraph" w:styleId="En-ttedetabledesmatires">
    <w:name w:val="TOC Heading"/>
    <w:basedOn w:val="Titre1"/>
    <w:next w:val="Normal"/>
    <w:uiPriority w:val="39"/>
    <w:semiHidden/>
    <w:unhideWhenUsed/>
    <w:qFormat/>
    <w:rsid w:val="00B76B84"/>
    <w:pPr>
      <w:keepLines/>
      <w:spacing w:before="480" w:line="276" w:lineRule="auto"/>
      <w:outlineLvl w:val="9"/>
    </w:pPr>
    <w:rPr>
      <w:rFonts w:ascii="Cambria" w:hAnsi="Cambria"/>
      <w:b w:val="0"/>
      <w:bCs/>
      <w:color w:val="365F91"/>
      <w:sz w:val="28"/>
      <w:szCs w:val="28"/>
      <w:lang w:eastAsia="en-US"/>
    </w:rPr>
  </w:style>
  <w:style w:type="paragraph" w:customStyle="1" w:styleId="Pucepournumration">
    <w:name w:val="Puce pour énumération"/>
    <w:basedOn w:val="Normal"/>
    <w:link w:val="PucepournumrationCar"/>
    <w:rsid w:val="007E05BD"/>
    <w:pPr>
      <w:numPr>
        <w:numId w:val="4"/>
      </w:numPr>
      <w:spacing w:before="60"/>
      <w:jc w:val="both"/>
    </w:pPr>
  </w:style>
  <w:style w:type="character" w:customStyle="1" w:styleId="PucepournumrationCar">
    <w:name w:val="Puce pour énumération Car"/>
    <w:basedOn w:val="Policepardfaut"/>
    <w:link w:val="Pucepournumration"/>
    <w:locked/>
    <w:rsid w:val="007E05BD"/>
    <w:rPr>
      <w:sz w:val="23"/>
      <w:lang w:eastAsia="fr-FR"/>
    </w:rPr>
  </w:style>
  <w:style w:type="paragraph" w:customStyle="1" w:styleId="Pucepourparagraphe">
    <w:name w:val="Puce pour paragraphe"/>
    <w:basedOn w:val="Normal"/>
    <w:rsid w:val="007E05BD"/>
    <w:pPr>
      <w:keepNext/>
      <w:numPr>
        <w:numId w:val="5"/>
      </w:numPr>
      <w:suppressAutoHyphens/>
      <w:spacing w:before="60"/>
      <w:jc w:val="both"/>
    </w:pPr>
  </w:style>
  <w:style w:type="paragraph" w:customStyle="1" w:styleId="Pucepourtitre">
    <w:name w:val="Puce pour titre"/>
    <w:basedOn w:val="Normal"/>
    <w:next w:val="Normal"/>
    <w:rsid w:val="007E05BD"/>
    <w:pPr>
      <w:keepNext/>
      <w:numPr>
        <w:ilvl w:val="7"/>
        <w:numId w:val="6"/>
      </w:numPr>
      <w:suppressAutoHyphens/>
      <w:spacing w:before="180"/>
      <w:outlineLvl w:val="4"/>
    </w:pPr>
    <w:rPr>
      <w:b/>
    </w:rPr>
  </w:style>
  <w:style w:type="paragraph" w:customStyle="1" w:styleId="Default">
    <w:name w:val="Default"/>
    <w:rsid w:val="00FA767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A2Z</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Broutin</dc:creator>
  <cp:lastModifiedBy>MCG</cp:lastModifiedBy>
  <cp:revision>3</cp:revision>
  <dcterms:created xsi:type="dcterms:W3CDTF">2015-06-25T16:32:00Z</dcterms:created>
  <dcterms:modified xsi:type="dcterms:W3CDTF">2015-06-25T16:32:00Z</dcterms:modified>
</cp:coreProperties>
</file>